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D" w:rsidRPr="007C7E52" w:rsidRDefault="006123DD" w:rsidP="006123DD">
      <w:pPr>
        <w:spacing w:after="0" w:line="240" w:lineRule="auto"/>
        <w:rPr>
          <w:rFonts w:ascii="Times New Roman" w:hAnsi="Times New Roman"/>
        </w:rPr>
      </w:pPr>
      <w:r w:rsidRPr="007C7E52">
        <w:rPr>
          <w:rFonts w:ascii="Times New Roman" w:hAnsi="Times New Roman"/>
        </w:rPr>
        <w:fldChar w:fldCharType="begin"/>
      </w:r>
      <w:r w:rsidRPr="007C7E52">
        <w:rPr>
          <w:rFonts w:ascii="Times New Roman" w:hAnsi="Times New Roman"/>
        </w:rPr>
        <w:instrText xml:space="preserve"> DATE \@ "MMMM d, yyyy" </w:instrText>
      </w:r>
      <w:r w:rsidRPr="007C7E52">
        <w:rPr>
          <w:rFonts w:ascii="Times New Roman" w:hAnsi="Times New Roman"/>
        </w:rPr>
        <w:fldChar w:fldCharType="separate"/>
      </w:r>
      <w:r w:rsidR="00752441">
        <w:rPr>
          <w:rFonts w:ascii="Times New Roman" w:hAnsi="Times New Roman"/>
          <w:noProof/>
        </w:rPr>
        <w:t>February 8, 2016</w:t>
      </w:r>
      <w:r w:rsidRPr="007C7E52">
        <w:rPr>
          <w:rFonts w:ascii="Times New Roman" w:hAnsi="Times New Roman"/>
        </w:rPr>
        <w:fldChar w:fldCharType="end"/>
      </w:r>
    </w:p>
    <w:p w:rsidR="006123DD" w:rsidRPr="007C7E52" w:rsidRDefault="006123DD" w:rsidP="006123DD">
      <w:pPr>
        <w:spacing w:after="0" w:line="240" w:lineRule="auto"/>
        <w:rPr>
          <w:rFonts w:ascii="Times New Roman" w:hAnsi="Times New Roman"/>
        </w:rPr>
      </w:pPr>
    </w:p>
    <w:p w:rsidR="006123DD" w:rsidRPr="007C7E52" w:rsidRDefault="006123DD" w:rsidP="004403EC">
      <w:pPr>
        <w:spacing w:after="0" w:line="240" w:lineRule="auto"/>
        <w:ind w:left="-450"/>
        <w:rPr>
          <w:rFonts w:ascii="Times New Roman" w:hAnsi="Times New Roman"/>
        </w:rPr>
      </w:pPr>
    </w:p>
    <w:sdt>
      <w:sdtPr>
        <w:rPr>
          <w:rFonts w:ascii="Times New Roman" w:eastAsia="Times New Roman" w:hAnsi="Times New Roman"/>
          <w:bCs/>
        </w:rPr>
        <w:alias w:val="Company"/>
        <w:tag w:val=""/>
        <w:id w:val="-1765601944"/>
        <w:lock w:val="sdtLocked"/>
        <w:placeholder>
          <w:docPart w:val="30F526F44212460C9139CFAAD803EA5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123DD" w:rsidRPr="00B614F1" w:rsidRDefault="00970CAE" w:rsidP="006123DD">
          <w:pPr>
            <w:spacing w:after="0" w:line="240" w:lineRule="auto"/>
            <w:rPr>
              <w:rFonts w:ascii="Times New Roman" w:eastAsia="Times New Roman" w:hAnsi="Times New Roman"/>
              <w:bCs/>
            </w:rPr>
          </w:pPr>
          <w:r>
            <w:rPr>
              <w:rFonts w:ascii="Times New Roman" w:eastAsia="Times New Roman" w:hAnsi="Times New Roman"/>
              <w:bCs/>
            </w:rPr>
            <w:t>Cambridge Dental Group</w:t>
          </w:r>
        </w:p>
      </w:sdtContent>
    </w:sdt>
    <w:sdt>
      <w:sdtPr>
        <w:rPr>
          <w:rFonts w:ascii="Times New Roman" w:hAnsi="Times New Roman"/>
          <w:bCs/>
          <w:color w:val="222222"/>
          <w:shd w:val="clear" w:color="auto" w:fill="FFFFFF"/>
        </w:rPr>
        <w:alias w:val="Company Address"/>
        <w:tag w:val=""/>
        <w:id w:val="-317038648"/>
        <w:lock w:val="sdtLocked"/>
        <w:placeholder>
          <w:docPart w:val="FCEDFEDF7A464844ADC54A5FC015C8F7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6123DD" w:rsidRPr="00B614F1" w:rsidRDefault="00B614F1" w:rsidP="006123DD">
          <w:pPr>
            <w:spacing w:after="0" w:line="240" w:lineRule="auto"/>
            <w:rPr>
              <w:rFonts w:ascii="Times New Roman" w:eastAsia="Times New Roman" w:hAnsi="Times New Roman"/>
              <w:bCs/>
            </w:rPr>
          </w:pPr>
          <w:r w:rsidRPr="00B614F1">
            <w:rPr>
              <w:rFonts w:ascii="Times New Roman" w:hAnsi="Times New Roman"/>
              <w:bCs/>
              <w:color w:val="222222"/>
              <w:shd w:val="clear" w:color="auto" w:fill="FFFFFF"/>
            </w:rPr>
            <w:t>27281 W Warren Ave</w:t>
          </w:r>
        </w:p>
      </w:sdtContent>
    </w:sdt>
    <w:sdt>
      <w:sdtPr>
        <w:rPr>
          <w:rFonts w:ascii="Times New Roman" w:eastAsia="Times New Roman" w:hAnsi="Times New Roman"/>
          <w:bCs/>
        </w:rPr>
        <w:alias w:val="City,State,Zip"/>
        <w:tag w:val=""/>
        <w:id w:val="454218187"/>
        <w:lock w:val="sdtLocked"/>
        <w:placeholder>
          <w:docPart w:val="4DA4A22A62A64983B35330D61AA195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123DD" w:rsidRPr="007C7E52" w:rsidRDefault="00B614F1" w:rsidP="006123DD">
          <w:pPr>
            <w:spacing w:after="0" w:line="240" w:lineRule="auto"/>
            <w:rPr>
              <w:rFonts w:ascii="Times New Roman" w:eastAsia="Times New Roman" w:hAnsi="Times New Roman"/>
              <w:bCs/>
            </w:rPr>
          </w:pPr>
          <w:r>
            <w:rPr>
              <w:rFonts w:ascii="Times New Roman" w:eastAsia="Times New Roman" w:hAnsi="Times New Roman"/>
              <w:bCs/>
            </w:rPr>
            <w:t>Dearborn Heights, Mi 48127</w:t>
          </w:r>
        </w:p>
      </w:sdtContent>
    </w:sdt>
    <w:p w:rsidR="006123DD" w:rsidRPr="007C7E52" w:rsidRDefault="006123DD" w:rsidP="006123DD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6123DD" w:rsidRPr="007C7E52" w:rsidRDefault="006123DD" w:rsidP="006123DD">
      <w:pPr>
        <w:spacing w:after="0" w:line="240" w:lineRule="auto"/>
        <w:rPr>
          <w:rFonts w:ascii="Times New Roman" w:hAnsi="Times New Roman"/>
        </w:rPr>
      </w:pPr>
    </w:p>
    <w:p w:rsidR="007B5417" w:rsidRDefault="007B5417" w:rsidP="007B5417">
      <w:pPr>
        <w:tabs>
          <w:tab w:val="left" w:pos="2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sdt>
        <w:sdtPr>
          <w:rPr>
            <w:rFonts w:ascii="Times New Roman" w:hAnsi="Times New Roman"/>
          </w:rPr>
          <w:alias w:val="Manager"/>
          <w:tag w:val=""/>
          <w:id w:val="1272129230"/>
          <w:lock w:val="sdtLocked"/>
          <w:placeholder>
            <w:docPart w:val="96F024204FAD4D08B3428BB7CD1D1A11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B614F1">
            <w:rPr>
              <w:rFonts w:ascii="Times New Roman" w:hAnsi="Times New Roman"/>
            </w:rPr>
            <w:t>Kamy</w:t>
          </w:r>
        </w:sdtContent>
      </w:sdt>
      <w:r>
        <w:rPr>
          <w:rFonts w:ascii="Times New Roman" w:hAnsi="Times New Roman"/>
        </w:rPr>
        <w:t>,</w:t>
      </w:r>
    </w:p>
    <w:p w:rsidR="00F303F8" w:rsidRDefault="00F303F8" w:rsidP="00F303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per </w:t>
      </w:r>
      <w:r w:rsidR="00B614F1">
        <w:rPr>
          <w:rFonts w:ascii="Times New Roman" w:hAnsi="Times New Roman"/>
        </w:rPr>
        <w:t>our conversation today</w:t>
      </w:r>
      <w:r>
        <w:rPr>
          <w:rFonts w:ascii="Times New Roman" w:hAnsi="Times New Roman"/>
        </w:rPr>
        <w:t xml:space="preserve">, I am excited to share with you </w:t>
      </w:r>
      <w:r w:rsidR="00B614F1">
        <w:rPr>
          <w:rFonts w:ascii="Times New Roman" w:hAnsi="Times New Roman"/>
        </w:rPr>
        <w:t xml:space="preserve">the results of </w:t>
      </w:r>
      <w:r>
        <w:rPr>
          <w:rFonts w:ascii="Times New Roman" w:hAnsi="Times New Roman"/>
        </w:rPr>
        <w:t xml:space="preserve">our Signature Hygiene Program </w:t>
      </w:r>
      <w:r w:rsidR="00CC51C2">
        <w:rPr>
          <w:rFonts w:ascii="Times New Roman" w:hAnsi="Times New Roman"/>
        </w:rPr>
        <w:t>and a special payment plan I created for your practice</w:t>
      </w:r>
      <w:r>
        <w:rPr>
          <w:rFonts w:ascii="Times New Roman" w:hAnsi="Times New Roman"/>
        </w:rPr>
        <w:t xml:space="preserve">. 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4977C2" w:rsidRDefault="00F303F8" w:rsidP="00F30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What would it mean to your Hygiene Department and practice if you could…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Achieve a </w:t>
      </w:r>
      <w:r w:rsidRPr="00357361">
        <w:rPr>
          <w:rFonts w:ascii="Times New Roman" w:hAnsi="Times New Roman"/>
        </w:rPr>
        <w:t>300</w:t>
      </w:r>
      <w:r>
        <w:rPr>
          <w:rFonts w:ascii="Times New Roman" w:hAnsi="Times New Roman"/>
        </w:rPr>
        <w:t>+</w:t>
      </w:r>
      <w:r w:rsidRPr="00357361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ROI on Hygiene Department training</w:t>
      </w: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Achieve r</w:t>
      </w:r>
      <w:r w:rsidRPr="00357361">
        <w:rPr>
          <w:rFonts w:ascii="Times New Roman" w:hAnsi="Times New Roman"/>
        </w:rPr>
        <w:t>esults that last</w:t>
      </w:r>
      <w:r>
        <w:rPr>
          <w:rFonts w:ascii="Times New Roman" w:hAnsi="Times New Roman"/>
        </w:rPr>
        <w:t xml:space="preserve"> long after the </w:t>
      </w:r>
      <w:r w:rsidRPr="00357361">
        <w:rPr>
          <w:rFonts w:ascii="Times New Roman" w:hAnsi="Times New Roman"/>
        </w:rPr>
        <w:t>training</w:t>
      </w:r>
      <w:r>
        <w:rPr>
          <w:rFonts w:ascii="Times New Roman" w:hAnsi="Times New Roman"/>
        </w:rPr>
        <w:t xml:space="preserve"> ends</w:t>
      </w: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Decrease “open” time in the hygiene schedule </w:t>
      </w:r>
    </w:p>
    <w:p w:rsidR="00F303F8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Increase compliance and case acceptance from </w:t>
      </w:r>
      <w:r>
        <w:rPr>
          <w:rFonts w:ascii="Times New Roman" w:hAnsi="Times New Roman"/>
        </w:rPr>
        <w:t>p</w:t>
      </w:r>
      <w:r w:rsidRPr="00357361">
        <w:rPr>
          <w:rFonts w:ascii="Times New Roman" w:hAnsi="Times New Roman"/>
        </w:rPr>
        <w:t xml:space="preserve">atients </w:t>
      </w:r>
    </w:p>
    <w:p w:rsidR="00F303F8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rapport between providers and the patients </w:t>
      </w: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Increase referrals from patients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4977C2" w:rsidRDefault="00F303F8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People think we’re crazy to guarantee our results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357361" w:rsidRDefault="00F303F8" w:rsidP="00CC51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enough pre- and post-training statistics gathered over the course of 5 years to allow us to GUARANTEE our results to any practice that </w:t>
      </w:r>
      <w:r w:rsidRPr="00357361">
        <w:rPr>
          <w:rFonts w:ascii="Times New Roman" w:hAnsi="Times New Roman"/>
          <w:b/>
          <w:i/>
        </w:rPr>
        <w:t>qualifies</w:t>
      </w:r>
      <w:r>
        <w:rPr>
          <w:rFonts w:ascii="Times New Roman" w:hAnsi="Times New Roman"/>
        </w:rPr>
        <w:t xml:space="preserve"> for the training. Yes, I did say </w:t>
      </w:r>
      <w:r w:rsidRPr="00357361">
        <w:rPr>
          <w:rFonts w:ascii="Times New Roman" w:hAnsi="Times New Roman"/>
          <w:b/>
          <w:i/>
        </w:rPr>
        <w:t>qualifies</w:t>
      </w:r>
      <w:r>
        <w:rPr>
          <w:rFonts w:ascii="Times New Roman" w:hAnsi="Times New Roman"/>
        </w:rPr>
        <w:t xml:space="preserve">. We do not believe in improving a practice if a department is already running at 100%. </w:t>
      </w:r>
      <w:r w:rsidR="00CC51C2">
        <w:rPr>
          <w:rFonts w:ascii="Times New Roman" w:hAnsi="Times New Roman"/>
        </w:rPr>
        <w:t>Based on the H</w:t>
      </w:r>
      <w:r>
        <w:rPr>
          <w:rFonts w:ascii="Times New Roman" w:hAnsi="Times New Roman"/>
        </w:rPr>
        <w:t xml:space="preserve">ygiene </w:t>
      </w:r>
      <w:r w:rsidR="00CC51C2">
        <w:rPr>
          <w:rFonts w:ascii="Times New Roman" w:hAnsi="Times New Roman"/>
        </w:rPr>
        <w:t>Assessment conducted in 2015, your practice does qualify and could GREATLY benefit from our Signature Hygiene Program.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4977C2" w:rsidRDefault="00F303F8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What participants are saying</w:t>
      </w:r>
    </w:p>
    <w:p w:rsidR="00F303F8" w:rsidRDefault="00F303F8" w:rsidP="00F303F8">
      <w:pPr>
        <w:spacing w:after="0" w:line="240" w:lineRule="auto"/>
        <w:rPr>
          <w:rFonts w:ascii="Cambria" w:hAnsi="Cambria"/>
        </w:rPr>
      </w:pPr>
    </w:p>
    <w:p w:rsidR="00F303F8" w:rsidRDefault="00F303F8" w:rsidP="00F303F8">
      <w:pPr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Visit </w:t>
      </w:r>
      <w:hyperlink r:id="rId9" w:history="1">
        <w:r w:rsidRPr="004977C2">
          <w:rPr>
            <w:rStyle w:val="Hyperlink"/>
            <w:rFonts w:ascii="Cambria" w:hAnsi="Cambria"/>
          </w:rPr>
          <w:t>http://www.strategicpracticesolution.com/dental-hygiene-consultants</w:t>
        </w:r>
      </w:hyperlink>
      <w:r>
        <w:rPr>
          <w:rFonts w:ascii="Cambria" w:hAnsi="Cambria"/>
        </w:rPr>
        <w:t xml:space="preserve"> </w:t>
      </w:r>
      <w:r w:rsidRPr="00250E2B">
        <w:rPr>
          <w:rFonts w:ascii="Cambria" w:hAnsi="Cambria"/>
          <w:color w:val="000000" w:themeColor="text1"/>
        </w:rPr>
        <w:t xml:space="preserve">to </w:t>
      </w:r>
      <w:r>
        <w:rPr>
          <w:rFonts w:ascii="Cambria" w:hAnsi="Cambria"/>
          <w:color w:val="000000" w:themeColor="text1"/>
        </w:rPr>
        <w:t>see</w:t>
      </w:r>
      <w:r w:rsidRPr="00250E2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what </w:t>
      </w:r>
      <w:r w:rsidRPr="00250E2B">
        <w:rPr>
          <w:rFonts w:ascii="Cambria" w:hAnsi="Cambria"/>
          <w:color w:val="000000" w:themeColor="text1"/>
        </w:rPr>
        <w:t xml:space="preserve">our clients and attendees </w:t>
      </w:r>
      <w:r>
        <w:rPr>
          <w:rFonts w:ascii="Cambria" w:hAnsi="Cambria"/>
          <w:color w:val="000000" w:themeColor="text1"/>
        </w:rPr>
        <w:t xml:space="preserve">have to say about their experience with the </w:t>
      </w:r>
      <w:r w:rsidRPr="00250E2B">
        <w:rPr>
          <w:rFonts w:ascii="Cambria" w:hAnsi="Cambria"/>
          <w:color w:val="000000" w:themeColor="text1"/>
        </w:rPr>
        <w:t>program</w:t>
      </w:r>
      <w:r>
        <w:rPr>
          <w:rFonts w:ascii="Cambria" w:hAnsi="Cambria"/>
          <w:color w:val="000000" w:themeColor="text1"/>
        </w:rPr>
        <w:t>. There is no other program in the marketplace that delivers the results like our Signature Hygiene Program.</w:t>
      </w:r>
    </w:p>
    <w:p w:rsidR="00E15D53" w:rsidRPr="00647D86" w:rsidRDefault="00E15D53" w:rsidP="00F303F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647D86" w:rsidRDefault="00E15D53" w:rsidP="00F303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D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What is the </w:t>
      </w:r>
      <w:r w:rsidR="00970CAE">
        <w:rPr>
          <w:rFonts w:ascii="Times New Roman" w:hAnsi="Times New Roman"/>
          <w:b/>
          <w:color w:val="000000" w:themeColor="text1"/>
          <w:sz w:val="24"/>
          <w:szCs w:val="24"/>
        </w:rPr>
        <w:t>investment you would be making to receive over 300% in ROI</w:t>
      </w:r>
    </w:p>
    <w:p w:rsidR="00CC51C2" w:rsidRPr="00647D86" w:rsidRDefault="00CC51C2" w:rsidP="00F303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7D86" w:rsidRPr="00647D86" w:rsidRDefault="00E15D53" w:rsidP="00F303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47D86">
        <w:rPr>
          <w:rFonts w:ascii="Times New Roman" w:hAnsi="Times New Roman"/>
          <w:color w:val="000000" w:themeColor="text1"/>
        </w:rPr>
        <w:t xml:space="preserve">There is a baseline fee of $18,500 for the entire Hygiene </w:t>
      </w:r>
      <w:r w:rsidR="00647D86" w:rsidRPr="00647D86">
        <w:rPr>
          <w:rFonts w:ascii="Times New Roman" w:hAnsi="Times New Roman"/>
          <w:color w:val="000000" w:themeColor="text1"/>
        </w:rPr>
        <w:t xml:space="preserve">Signature </w:t>
      </w:r>
      <w:r w:rsidRPr="00647D86">
        <w:rPr>
          <w:rFonts w:ascii="Times New Roman" w:hAnsi="Times New Roman"/>
          <w:color w:val="000000" w:themeColor="text1"/>
        </w:rPr>
        <w:t>Training</w:t>
      </w:r>
      <w:r w:rsidR="00647D86" w:rsidRPr="00647D86">
        <w:rPr>
          <w:rFonts w:ascii="Times New Roman" w:hAnsi="Times New Roman"/>
          <w:color w:val="000000" w:themeColor="text1"/>
        </w:rPr>
        <w:t xml:space="preserve"> Program. It includes</w:t>
      </w:r>
      <w:r w:rsidR="00CC51C2">
        <w:rPr>
          <w:rFonts w:ascii="Times New Roman" w:hAnsi="Times New Roman"/>
          <w:color w:val="000000" w:themeColor="text1"/>
        </w:rPr>
        <w:t>:</w:t>
      </w:r>
      <w:r w:rsidR="00647D86" w:rsidRPr="00647D86">
        <w:rPr>
          <w:rFonts w:ascii="Times New Roman" w:hAnsi="Times New Roman"/>
          <w:color w:val="000000" w:themeColor="text1"/>
        </w:rPr>
        <w:t xml:space="preserve"> </w:t>
      </w:r>
    </w:p>
    <w:p w:rsidR="00647D86" w:rsidRPr="00647D86" w:rsidRDefault="00647D86" w:rsidP="00F303F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7D86" w:rsidRPr="00E15D53" w:rsidRDefault="00647D86" w:rsidP="00647D86">
      <w:pPr>
        <w:numPr>
          <w:ilvl w:val="0"/>
          <w:numId w:val="8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>2.5 days of training [ all team members are invited]</w:t>
      </w:r>
    </w:p>
    <w:p w:rsidR="00647D86" w:rsidRPr="00E15D53" w:rsidRDefault="00647D86" w:rsidP="00647D86">
      <w:pPr>
        <w:numPr>
          <w:ilvl w:val="0"/>
          <w:numId w:val="8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>24 Hours of onsite coaching while RDH sees scheduled patients</w:t>
      </w:r>
      <w:r>
        <w:rPr>
          <w:rFonts w:ascii="Times New Roman" w:eastAsiaTheme="minorHAnsi" w:hAnsi="Times New Roman"/>
        </w:rPr>
        <w:t xml:space="preserve"> – up to 2 hygienists</w:t>
      </w:r>
    </w:p>
    <w:p w:rsidR="00647D86" w:rsidRPr="00E15D53" w:rsidRDefault="00647D86" w:rsidP="00647D86">
      <w:pPr>
        <w:numPr>
          <w:ilvl w:val="0"/>
          <w:numId w:val="8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>Implementation of the RDH Daily Stats Tracker [ Each RDH will be trained to fill out  and analyze the tracker to self-evaluate]</w:t>
      </w:r>
    </w:p>
    <w:p w:rsidR="00647D86" w:rsidRPr="00E15D53" w:rsidRDefault="00647D86" w:rsidP="00647D86">
      <w:pPr>
        <w:numPr>
          <w:ilvl w:val="0"/>
          <w:numId w:val="8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 xml:space="preserve">Coaching management staff on how to monitor the RDH Daily Stats Tracker </w:t>
      </w:r>
    </w:p>
    <w:p w:rsidR="00647D86" w:rsidRPr="00E15D53" w:rsidRDefault="00647D86" w:rsidP="00647D86">
      <w:pPr>
        <w:numPr>
          <w:ilvl w:val="0"/>
          <w:numId w:val="8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>CE Credits through the MDA</w:t>
      </w:r>
    </w:p>
    <w:p w:rsidR="00647D86" w:rsidRPr="00E15D53" w:rsidRDefault="00647D86" w:rsidP="00647D86">
      <w:pPr>
        <w:numPr>
          <w:ilvl w:val="0"/>
          <w:numId w:val="9"/>
        </w:numPr>
        <w:spacing w:after="160" w:line="259" w:lineRule="auto"/>
        <w:ind w:left="540" w:hanging="27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 xml:space="preserve">Hygiene attendees will received 48 CE credits [ includes 24 CE for clinical requirements by the MDA ] </w:t>
      </w:r>
    </w:p>
    <w:p w:rsidR="00647D86" w:rsidRPr="00E15D53" w:rsidRDefault="00647D86" w:rsidP="00647D86">
      <w:pPr>
        <w:numPr>
          <w:ilvl w:val="0"/>
          <w:numId w:val="9"/>
        </w:numPr>
        <w:spacing w:after="160" w:line="259" w:lineRule="auto"/>
        <w:ind w:left="540" w:hanging="27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>DDS Associate attendees will receive approx. 24 CE Credits</w:t>
      </w:r>
    </w:p>
    <w:p w:rsidR="00647D86" w:rsidRDefault="00647D86" w:rsidP="00647D86">
      <w:pPr>
        <w:numPr>
          <w:ilvl w:val="0"/>
          <w:numId w:val="10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>Guarantee of the results until the ROI is 100%</w:t>
      </w:r>
    </w:p>
    <w:p w:rsidR="00647D86" w:rsidRDefault="00647D86" w:rsidP="00647D86">
      <w:pPr>
        <w:numPr>
          <w:ilvl w:val="0"/>
          <w:numId w:val="10"/>
        </w:numPr>
        <w:spacing w:after="160" w:line="259" w:lineRule="auto"/>
        <w:ind w:left="450"/>
        <w:contextualSpacing/>
        <w:rPr>
          <w:rFonts w:ascii="Times New Roman" w:eastAsiaTheme="minorHAnsi" w:hAnsi="Times New Roman"/>
        </w:rPr>
      </w:pPr>
      <w:r w:rsidRPr="00E15D53">
        <w:rPr>
          <w:rFonts w:ascii="Times New Roman" w:eastAsiaTheme="minorHAnsi" w:hAnsi="Times New Roman"/>
        </w:rPr>
        <w:t xml:space="preserve">SPS coaches monitor the RDH Daily Stats Tracker and will schedule additional coaching sessions with RDH providers </w:t>
      </w:r>
      <w:r>
        <w:rPr>
          <w:rFonts w:ascii="Times New Roman" w:eastAsiaTheme="minorHAnsi" w:hAnsi="Times New Roman"/>
        </w:rPr>
        <w:t>as needed</w:t>
      </w:r>
      <w:r w:rsidRPr="00E15D53">
        <w:rPr>
          <w:rFonts w:ascii="Times New Roman" w:eastAsiaTheme="minorHAnsi" w:hAnsi="Times New Roman"/>
        </w:rPr>
        <w:t xml:space="preserve"> </w:t>
      </w:r>
    </w:p>
    <w:p w:rsidR="00E15D53" w:rsidRDefault="00E15D53" w:rsidP="00F303F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An additional $3,485 will be incurred for any additional hygienists beyond the 2 cove</w:t>
      </w:r>
      <w:r w:rsidR="00647D86">
        <w:rPr>
          <w:rFonts w:ascii="Times New Roman" w:hAnsi="Times New Roman"/>
          <w:color w:val="000000" w:themeColor="text1"/>
        </w:rPr>
        <w:t xml:space="preserve">red in the </w:t>
      </w:r>
      <w:r w:rsidR="00022FB7">
        <w:rPr>
          <w:rFonts w:ascii="Times New Roman" w:hAnsi="Times New Roman"/>
          <w:color w:val="000000" w:themeColor="text1"/>
        </w:rPr>
        <w:t>$18,500 base cost for the training/coaching</w:t>
      </w:r>
      <w:r w:rsidR="00647D86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The additional fee is to provide 24 hours of onsite coaching per hygienist added. [Refer to Chart 1.1 for further details]</w:t>
      </w:r>
    </w:p>
    <w:p w:rsidR="00E15D53" w:rsidRDefault="00E15D53" w:rsidP="00F303F8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334"/>
        <w:tblW w:w="9036" w:type="dxa"/>
        <w:tblLook w:val="04A0" w:firstRow="1" w:lastRow="0" w:firstColumn="1" w:lastColumn="0" w:noHBand="0" w:noVBand="1"/>
      </w:tblPr>
      <w:tblGrid>
        <w:gridCol w:w="2160"/>
        <w:gridCol w:w="962"/>
        <w:gridCol w:w="1054"/>
        <w:gridCol w:w="1240"/>
        <w:gridCol w:w="1280"/>
        <w:gridCol w:w="1170"/>
        <w:gridCol w:w="1170"/>
      </w:tblGrid>
      <w:tr w:rsidR="00B614F1" w:rsidRPr="00E15D53" w:rsidTr="00B614F1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# of RDH Attending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</w:t>
            </w:r>
          </w:p>
        </w:tc>
      </w:tr>
      <w:tr w:rsidR="00B614F1" w:rsidRPr="00E15D53" w:rsidTr="00B614F1">
        <w:trPr>
          <w:trHeight w:val="264"/>
        </w:trPr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Training Cost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18,500</w:t>
            </w:r>
          </w:p>
        </w:tc>
      </w:tr>
      <w:tr w:rsidR="00B614F1" w:rsidRPr="00E15D53" w:rsidTr="00B614F1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Coaching Cost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included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3,485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6,970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10,455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13,940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17,425</w:t>
            </w:r>
          </w:p>
        </w:tc>
      </w:tr>
      <w:tr w:rsidR="00B614F1" w:rsidRPr="00E15D53" w:rsidTr="00B614F1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Trainer's commute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</w:tr>
      <w:tr w:rsidR="00B614F1" w:rsidRPr="00E15D53" w:rsidTr="00B614F1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Trainer's lodging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SPS</w:t>
            </w:r>
          </w:p>
        </w:tc>
      </w:tr>
      <w:tr w:rsidR="00B614F1" w:rsidRPr="00E15D53" w:rsidTr="00B614F1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21,985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    25,470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28,955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32,440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614F1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 35,925</w:t>
            </w:r>
          </w:p>
        </w:tc>
      </w:tr>
    </w:tbl>
    <w:p w:rsidR="00E15D53" w:rsidRPr="00E15D53" w:rsidRDefault="00022FB7" w:rsidP="00022FB7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r w:rsidR="00E15D53">
        <w:rPr>
          <w:rFonts w:ascii="Times New Roman" w:hAnsi="Times New Roman"/>
          <w:color w:val="000000" w:themeColor="text1"/>
        </w:rPr>
        <w:t>Chart 1.1: Hygiene training/ onsite coaching fees associated with the number of hygiene attendees</w:t>
      </w:r>
    </w:p>
    <w:p w:rsidR="00E15D53" w:rsidRPr="00E15D53" w:rsidRDefault="00022FB7" w:rsidP="00647D86">
      <w:pPr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</w:t>
      </w:r>
      <w:r w:rsidR="00E15D53" w:rsidRPr="00E15D53">
        <w:rPr>
          <w:rFonts w:ascii="Cambria" w:hAnsi="Cambria"/>
          <w:color w:val="000000" w:themeColor="text1"/>
        </w:rPr>
        <w:t xml:space="preserve">*Trainer’s commute and lodging will be picked up </w:t>
      </w:r>
      <w:r w:rsidR="00647D86">
        <w:rPr>
          <w:rFonts w:ascii="Cambria" w:hAnsi="Cambria"/>
          <w:color w:val="000000" w:themeColor="text1"/>
        </w:rPr>
        <w:t>by Strategic Practice Solutions</w:t>
      </w:r>
    </w:p>
    <w:p w:rsidR="00E15D53" w:rsidRPr="00647D86" w:rsidRDefault="00E15D53" w:rsidP="00F303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34EB" w:rsidRPr="00647D86" w:rsidRDefault="005134EB" w:rsidP="00F303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D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Payment Plan </w:t>
      </w:r>
    </w:p>
    <w:p w:rsidR="00647D86" w:rsidRDefault="00647D86" w:rsidP="00F303F8">
      <w:pPr>
        <w:spacing w:after="0" w:line="240" w:lineRule="auto"/>
        <w:rPr>
          <w:rFonts w:ascii="Cambria" w:hAnsi="Cambria"/>
          <w:b/>
          <w:color w:val="000000" w:themeColor="text1"/>
        </w:rPr>
      </w:pPr>
    </w:p>
    <w:p w:rsidR="00E15D53" w:rsidRPr="00E15D53" w:rsidRDefault="00647D86" w:rsidP="00CC51C2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>
        <w:rPr>
          <w:rFonts w:ascii="Cambria" w:hAnsi="Cambria"/>
          <w:color w:val="000000" w:themeColor="text1"/>
        </w:rPr>
        <w:t xml:space="preserve">A 5% </w:t>
      </w:r>
      <w:r w:rsidR="00E15D53" w:rsidRPr="00647D86">
        <w:rPr>
          <w:rFonts w:ascii="Cambria" w:hAnsi="Cambria"/>
          <w:color w:val="000000" w:themeColor="text1"/>
        </w:rPr>
        <w:t>discount</w:t>
      </w:r>
      <w:r>
        <w:rPr>
          <w:rFonts w:ascii="Cambria" w:hAnsi="Cambria"/>
          <w:color w:val="000000" w:themeColor="text1"/>
        </w:rPr>
        <w:t xml:space="preserve"> </w:t>
      </w:r>
      <w:r w:rsidR="00CC51C2">
        <w:rPr>
          <w:rFonts w:ascii="Cambria" w:hAnsi="Cambria"/>
          <w:color w:val="000000" w:themeColor="text1"/>
        </w:rPr>
        <w:t xml:space="preserve">is applied if </w:t>
      </w:r>
      <w:r>
        <w:rPr>
          <w:rFonts w:ascii="Cambria" w:hAnsi="Cambria"/>
          <w:color w:val="000000" w:themeColor="text1"/>
        </w:rPr>
        <w:t xml:space="preserve">payment </w:t>
      </w:r>
      <w:r w:rsidR="00CC51C2">
        <w:rPr>
          <w:rFonts w:ascii="Cambria" w:hAnsi="Cambria"/>
          <w:color w:val="000000" w:themeColor="text1"/>
        </w:rPr>
        <w:t xml:space="preserve">is </w:t>
      </w:r>
      <w:r>
        <w:rPr>
          <w:rFonts w:ascii="Cambria" w:hAnsi="Cambria"/>
          <w:color w:val="000000" w:themeColor="text1"/>
        </w:rPr>
        <w:t xml:space="preserve">paid in full at the onset of the training. A payment plan is also available allowing the practice to pay the fees associated with the training with the extra revenue generated </w:t>
      </w:r>
      <w:r w:rsidR="00022FB7">
        <w:rPr>
          <w:rFonts w:ascii="Cambria" w:hAnsi="Cambria"/>
          <w:color w:val="000000" w:themeColor="text1"/>
        </w:rPr>
        <w:t>as a result of</w:t>
      </w:r>
      <w:r>
        <w:rPr>
          <w:rFonts w:ascii="Cambria" w:hAnsi="Cambria"/>
          <w:color w:val="000000" w:themeColor="text1"/>
        </w:rPr>
        <w:t xml:space="preserve"> the training. </w:t>
      </w:r>
      <w:r w:rsidR="00022FB7">
        <w:rPr>
          <w:rFonts w:ascii="Cambria" w:hAnsi="Cambria"/>
          <w:color w:val="000000" w:themeColor="text1"/>
        </w:rPr>
        <w:t>Refer to chart 2.1</w:t>
      </w:r>
      <w:r w:rsidR="00E15D53" w:rsidRPr="00647D86">
        <w:rPr>
          <w:rFonts w:ascii="Cambria" w:hAnsi="Cambria"/>
          <w:color w:val="000000" w:themeColor="text1"/>
        </w:rPr>
        <w:t xml:space="preserve"> </w:t>
      </w:r>
    </w:p>
    <w:p w:rsidR="00E15D53" w:rsidRPr="00E15D53" w:rsidRDefault="00E15D53" w:rsidP="00E15D5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XSpec="center" w:tblpY="396"/>
        <w:tblW w:w="8649" w:type="dxa"/>
        <w:tblLook w:val="04A0" w:firstRow="1" w:lastRow="0" w:firstColumn="1" w:lastColumn="0" w:noHBand="0" w:noVBand="1"/>
      </w:tblPr>
      <w:tblGrid>
        <w:gridCol w:w="3415"/>
        <w:gridCol w:w="934"/>
        <w:gridCol w:w="847"/>
        <w:gridCol w:w="969"/>
        <w:gridCol w:w="828"/>
        <w:gridCol w:w="828"/>
        <w:gridCol w:w="995"/>
      </w:tblGrid>
      <w:tr w:rsidR="00022FB7" w:rsidRPr="00E15D53" w:rsidTr="00022FB7">
        <w:trPr>
          <w:trHeight w:val="7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# of RDH Attending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1-2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Installment payment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  <w:r w:rsidR="00B614F1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30 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after installment  p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ayment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B614F1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4,462.50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after installment  p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ayment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B614F1" w:rsidP="00B6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4,462.50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after installment  p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ayment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7,000</w:t>
            </w:r>
            <w:r w:rsidR="00B614F1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after installment  p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ayment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4,500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6,950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7,440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7,000</w:t>
            </w:r>
            <w:r w:rsidR="00B614F1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 xml:space="preserve"> day</w:t>
            </w:r>
            <w:r w:rsidR="00BD2EF3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after installment  p</w:t>
            </w: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ayment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3,500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5,485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6,970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7,500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sz w:val="20"/>
                <w:szCs w:val="20"/>
              </w:rPr>
              <w:t>8,500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B7" w:rsidRPr="00E15D53" w:rsidRDefault="00B614F1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8,500.00</w:t>
            </w:r>
          </w:p>
        </w:tc>
      </w:tr>
      <w:tr w:rsidR="00022FB7" w:rsidRPr="00E15D53" w:rsidTr="00022FB7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Total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21,985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25,470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32,440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022FB7" w:rsidRPr="00E15D53" w:rsidRDefault="00022FB7" w:rsidP="0002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15D5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35,925</w:t>
            </w:r>
          </w:p>
        </w:tc>
      </w:tr>
    </w:tbl>
    <w:p w:rsidR="00E15D53" w:rsidRPr="00E15D53" w:rsidRDefault="00B614F1" w:rsidP="00E15D53">
      <w:pPr>
        <w:spacing w:after="160" w:line="259" w:lineRule="auto"/>
        <w:ind w:left="720" w:hanging="630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</w:t>
      </w:r>
      <w:r w:rsidR="00022FB7" w:rsidRPr="00B614F1">
        <w:rPr>
          <w:rFonts w:asciiTheme="minorHAnsi" w:eastAsiaTheme="minorHAnsi" w:hAnsiTheme="minorHAnsi" w:cstheme="minorBidi"/>
        </w:rPr>
        <w:t xml:space="preserve">Chart 2.1: </w:t>
      </w:r>
      <w:r w:rsidR="00E15D53" w:rsidRPr="00E15D53">
        <w:rPr>
          <w:rFonts w:asciiTheme="minorHAnsi" w:eastAsiaTheme="minorHAnsi" w:hAnsiTheme="minorHAnsi" w:cstheme="minorBidi"/>
        </w:rPr>
        <w:t>Payment Plan based on the # of Hygienists attending the</w:t>
      </w:r>
      <w:r w:rsidR="00E15D53" w:rsidRPr="00E15D53">
        <w:rPr>
          <w:rFonts w:asciiTheme="minorHAnsi" w:eastAsiaTheme="minorHAnsi" w:hAnsiTheme="minorHAnsi" w:cstheme="minorBidi"/>
          <w:b/>
        </w:rPr>
        <w:t xml:space="preserve"> </w:t>
      </w:r>
      <w:r w:rsidR="00E15D53" w:rsidRPr="00E15D53">
        <w:rPr>
          <w:rFonts w:asciiTheme="minorHAnsi" w:eastAsiaTheme="minorHAnsi" w:hAnsiTheme="minorHAnsi" w:cstheme="minorBidi"/>
        </w:rPr>
        <w:t>training</w:t>
      </w:r>
    </w:p>
    <w:p w:rsidR="00E15D53" w:rsidRPr="00E15D53" w:rsidRDefault="00E15D53" w:rsidP="00E15D53">
      <w:pPr>
        <w:spacing w:after="160" w:line="259" w:lineRule="auto"/>
        <w:ind w:left="720" w:hanging="630"/>
        <w:contextualSpacing/>
        <w:rPr>
          <w:rFonts w:asciiTheme="minorHAnsi" w:eastAsiaTheme="minorHAnsi" w:hAnsiTheme="minorHAnsi" w:cstheme="minorBidi"/>
        </w:rPr>
      </w:pPr>
      <w:r w:rsidRPr="00E15D53">
        <w:rPr>
          <w:rFonts w:asciiTheme="minorHAnsi" w:eastAsiaTheme="minorHAnsi" w:hAnsiTheme="minorHAnsi" w:cstheme="minorBidi"/>
        </w:rPr>
        <w:br/>
      </w:r>
    </w:p>
    <w:p w:rsidR="00E15D53" w:rsidRPr="00E15D53" w:rsidRDefault="00E15D53" w:rsidP="00E15D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5D53" w:rsidRPr="00E15D53" w:rsidRDefault="00E15D53" w:rsidP="00E15D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B7" w:rsidRDefault="00022FB7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4F1" w:rsidRDefault="00B614F1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3F8" w:rsidRPr="004977C2" w:rsidRDefault="00F303F8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Results that speak for themselves</w:t>
      </w:r>
    </w:p>
    <w:p w:rsidR="00F303F8" w:rsidRDefault="00F303F8" w:rsidP="00F303F8">
      <w:pPr>
        <w:spacing w:after="0" w:line="240" w:lineRule="auto"/>
        <w:rPr>
          <w:rFonts w:ascii="Cambria" w:hAnsi="Cambria"/>
        </w:rPr>
      </w:pPr>
    </w:p>
    <w:p w:rsidR="00F303F8" w:rsidRDefault="00F303F8" w:rsidP="00F303F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 have attached 2 case studies for 2 different types of practices we have worked with. One that schedules 25 days of hygiene per week and had the training in April of 2015, and the other schedules 6 days of hygiene a week and had the training in February 2014. These case studies show what kind of impact the training had on the hygiene revenue and the longevity of the training. </w:t>
      </w:r>
    </w:p>
    <w:p w:rsidR="005134EB" w:rsidRDefault="005134EB" w:rsidP="00F303F8">
      <w:pPr>
        <w:spacing w:after="0" w:line="240" w:lineRule="auto"/>
        <w:rPr>
          <w:rFonts w:ascii="Cambria" w:hAnsi="Cambria"/>
        </w:rPr>
      </w:pPr>
    </w:p>
    <w:p w:rsidR="00F303F8" w:rsidRDefault="00F303F8" w:rsidP="00F303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 will reach out to you at the end of the week to see if you would like to schedule a face to face meeting so I may address any qu</w:t>
      </w:r>
      <w:r w:rsidR="00B614F1">
        <w:rPr>
          <w:rFonts w:ascii="Cambria" w:hAnsi="Cambria"/>
        </w:rPr>
        <w:t xml:space="preserve">estions you may have </w:t>
      </w:r>
      <w:r>
        <w:rPr>
          <w:rFonts w:ascii="Cambria" w:hAnsi="Cambria"/>
        </w:rPr>
        <w:t xml:space="preserve">and/or </w:t>
      </w:r>
      <w:r w:rsidR="00B614F1">
        <w:rPr>
          <w:rFonts w:ascii="Cambria" w:hAnsi="Cambria"/>
        </w:rPr>
        <w:t>show you other case studies</w:t>
      </w:r>
    </w:p>
    <w:p w:rsidR="004403EC" w:rsidRDefault="004403EC" w:rsidP="00175AEE">
      <w:pPr>
        <w:spacing w:after="0" w:line="240" w:lineRule="auto"/>
        <w:rPr>
          <w:rFonts w:ascii="Cambria" w:hAnsi="Cambria"/>
        </w:rPr>
      </w:pPr>
    </w:p>
    <w:p w:rsidR="007B5417" w:rsidRPr="007B5417" w:rsidRDefault="007B5417" w:rsidP="007B5417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7B54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B5417" w:rsidRDefault="000E50AD" w:rsidP="0070049F">
      <w:pPr>
        <w:tabs>
          <w:tab w:val="left" w:pos="1896"/>
        </w:tabs>
        <w:spacing w:after="0" w:line="240" w:lineRule="auto"/>
        <w:rPr>
          <w:rFonts w:ascii="Cambria" w:hAnsi="Cambria"/>
          <w:color w:val="000000" w:themeColor="text1"/>
        </w:rPr>
      </w:pPr>
      <w:sdt>
        <w:sdtPr>
          <w:rPr>
            <w:rFonts w:ascii="Cambria" w:hAnsi="Cambria"/>
            <w:color w:val="000000" w:themeColor="text1"/>
          </w:rPr>
          <w:alias w:val="Author"/>
          <w:tag w:val=""/>
          <w:id w:val="-355665268"/>
          <w:placeholder>
            <w:docPart w:val="E566AB4697FA467CB135AA3D6DC6BA7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0049F">
            <w:rPr>
              <w:rFonts w:ascii="Cambria" w:hAnsi="Cambria"/>
              <w:color w:val="000000" w:themeColor="text1"/>
            </w:rPr>
            <w:t>Tricia Casasanta</w:t>
          </w:r>
        </w:sdtContent>
      </w:sdt>
      <w:r w:rsidR="0070049F">
        <w:rPr>
          <w:rFonts w:ascii="Cambria" w:hAnsi="Cambria"/>
          <w:color w:val="000000" w:themeColor="text1"/>
        </w:rPr>
        <w:tab/>
      </w:r>
    </w:p>
    <w:p w:rsidR="004403EC" w:rsidRDefault="000E50AD" w:rsidP="0070049F">
      <w:pPr>
        <w:tabs>
          <w:tab w:val="left" w:pos="1896"/>
        </w:tabs>
        <w:spacing w:after="0" w:line="240" w:lineRule="auto"/>
        <w:rPr>
          <w:rFonts w:ascii="Cambria" w:hAnsi="Cambria"/>
          <w:color w:val="000000" w:themeColor="text1"/>
        </w:rPr>
      </w:pPr>
      <w:sdt>
        <w:sdtPr>
          <w:rPr>
            <w:rFonts w:ascii="Cambria" w:hAnsi="Cambria"/>
            <w:color w:val="000000" w:themeColor="text1"/>
          </w:rPr>
          <w:alias w:val="Title"/>
          <w:tag w:val=""/>
          <w:id w:val="1401862125"/>
          <w:lock w:val="sdtLocked"/>
          <w:placeholder>
            <w:docPart w:val="21FBCB2E73ED44689F9C171C37A5FA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51C2">
            <w:rPr>
              <w:rFonts w:ascii="Cambria" w:hAnsi="Cambria"/>
              <w:color w:val="000000" w:themeColor="text1"/>
            </w:rPr>
            <w:t>Director of Operations</w:t>
          </w:r>
        </w:sdtContent>
      </w:sdt>
      <w:r w:rsidR="0070049F">
        <w:rPr>
          <w:rFonts w:ascii="Cambria" w:hAnsi="Cambria"/>
          <w:color w:val="000000" w:themeColor="text1"/>
        </w:rPr>
        <w:br/>
      </w:r>
      <w:r w:rsidR="004403EC">
        <w:rPr>
          <w:rFonts w:ascii="Cambria" w:hAnsi="Cambria"/>
          <w:color w:val="000000" w:themeColor="text1"/>
        </w:rPr>
        <w:t>Strategic Practice Solutions</w:t>
      </w:r>
    </w:p>
    <w:p w:rsidR="00F303F8" w:rsidRDefault="00F303F8" w:rsidP="0070049F">
      <w:pPr>
        <w:tabs>
          <w:tab w:val="left" w:pos="1896"/>
        </w:tabs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Cell: </w:t>
      </w:r>
      <w:sdt>
        <w:sdtPr>
          <w:rPr>
            <w:rFonts w:ascii="Cambria" w:hAnsi="Cambria"/>
            <w:color w:val="000000" w:themeColor="text1"/>
          </w:rPr>
          <w:alias w:val="Phone Number"/>
          <w:tag w:val=""/>
          <w:id w:val="-972672641"/>
          <w:lock w:val="sdtLocked"/>
          <w:placeholder>
            <w:docPart w:val="CA350537DCAB4FDD889F914D3B8A4CA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C51C2">
            <w:rPr>
              <w:rFonts w:ascii="Cambria" w:hAnsi="Cambria"/>
              <w:color w:val="000000" w:themeColor="text1"/>
            </w:rPr>
            <w:t>586.804.4491</w:t>
          </w:r>
        </w:sdtContent>
      </w:sdt>
    </w:p>
    <w:p w:rsidR="004403EC" w:rsidRPr="004403EC" w:rsidRDefault="004403EC" w:rsidP="004403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03EC">
        <w:rPr>
          <w:rFonts w:ascii="Century Gothic" w:eastAsia="Times New Roman" w:hAnsi="Century Gothic" w:cs="Arial"/>
          <w:sz w:val="20"/>
          <w:szCs w:val="20"/>
        </w:rPr>
        <w:t>Tel:  586.803.7501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</w:tblGrid>
      <w:tr w:rsidR="004403EC" w:rsidRPr="004403EC" w:rsidTr="004403E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EC" w:rsidRPr="004403EC" w:rsidRDefault="004403EC" w:rsidP="004403EC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4403EC">
              <w:rPr>
                <w:rFonts w:ascii="Century Gothic" w:eastAsia="Times New Roman" w:hAnsi="Century Gothic" w:cs="Arial"/>
                <w:sz w:val="20"/>
                <w:szCs w:val="20"/>
              </w:rPr>
              <w:t>Toll Free:  888.421.1808</w:t>
            </w:r>
          </w:p>
        </w:tc>
      </w:tr>
    </w:tbl>
    <w:p w:rsidR="005134EB" w:rsidRDefault="005134EB" w:rsidP="00F303F8">
      <w:pPr>
        <w:shd w:val="clear" w:color="auto" w:fill="FFFFFF"/>
        <w:spacing w:after="0" w:line="240" w:lineRule="auto"/>
        <w:rPr>
          <w:rFonts w:ascii="Times New Roman" w:hAnsi="Times New Roman"/>
        </w:rPr>
        <w:sectPr w:rsidR="005134EB" w:rsidSect="00CC51C2">
          <w:headerReference w:type="default" r:id="rId10"/>
          <w:pgSz w:w="12240" w:h="15840"/>
          <w:pgMar w:top="1440" w:right="1350" w:bottom="810" w:left="900" w:header="720" w:footer="720" w:gutter="0"/>
          <w:cols w:space="720"/>
          <w:docGrid w:linePitch="360"/>
        </w:sectPr>
      </w:pPr>
    </w:p>
    <w:tbl>
      <w:tblPr>
        <w:tblW w:w="14939" w:type="dxa"/>
        <w:jc w:val="center"/>
        <w:tblLook w:val="04A0" w:firstRow="1" w:lastRow="0" w:firstColumn="1" w:lastColumn="0" w:noHBand="0" w:noVBand="1"/>
      </w:tblPr>
      <w:tblGrid>
        <w:gridCol w:w="1885"/>
        <w:gridCol w:w="787"/>
        <w:gridCol w:w="1052"/>
        <w:gridCol w:w="980"/>
        <w:gridCol w:w="1052"/>
        <w:gridCol w:w="1052"/>
        <w:gridCol w:w="980"/>
        <w:gridCol w:w="1052"/>
        <w:gridCol w:w="1052"/>
        <w:gridCol w:w="980"/>
        <w:gridCol w:w="980"/>
        <w:gridCol w:w="980"/>
        <w:gridCol w:w="980"/>
        <w:gridCol w:w="1127"/>
      </w:tblGrid>
      <w:tr w:rsidR="005134EB" w:rsidRPr="00250E2B" w:rsidTr="003F7F43">
        <w:trPr>
          <w:trHeight w:val="440"/>
          <w:jc w:val="center"/>
        </w:trPr>
        <w:tc>
          <w:tcPr>
            <w:tcW w:w="14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lastRenderedPageBreak/>
              <w:t>Case Study</w:t>
            </w:r>
            <w:r>
              <w:rPr>
                <w:rFonts w:eastAsia="Times New Roman" w:cs="Arial"/>
                <w:sz w:val="24"/>
                <w:szCs w:val="24"/>
              </w:rPr>
              <w:t xml:space="preserve"> #1</w:t>
            </w:r>
          </w:p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 xml:space="preserve"> [ Practice with 25 days of hygiene/week]</w:t>
            </w:r>
          </w:p>
        </w:tc>
      </w:tr>
      <w:tr w:rsidR="005134EB" w:rsidRPr="00250E2B" w:rsidTr="003F7F43">
        <w:trPr>
          <w:trHeight w:val="107"/>
          <w:jc w:val="center"/>
        </w:trPr>
        <w:tc>
          <w:tcPr>
            <w:tcW w:w="14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134EB" w:rsidRPr="00250E2B" w:rsidTr="003F7F43">
        <w:trPr>
          <w:trHeight w:val="27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Hygiene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JAN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FEB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MAR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APR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JUN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JUL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AUG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SEP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OCT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NOV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DEC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TOTAL</w:t>
            </w:r>
          </w:p>
        </w:tc>
      </w:tr>
      <w:tr w:rsidR="005134EB" w:rsidRPr="00250E2B" w:rsidTr="003F7F43">
        <w:trPr>
          <w:trHeight w:val="28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$76,720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$79,595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$74,397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$69,776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$75,965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$74,430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$77,897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$82,507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$61,789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$80,073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$78,285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$72,321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$903,755</w:t>
            </w:r>
          </w:p>
        </w:tc>
      </w:tr>
      <w:tr w:rsidR="005134EB" w:rsidRPr="00250E2B" w:rsidTr="003F7F43">
        <w:trPr>
          <w:trHeight w:val="288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$86,292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$77,590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$84,856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$79,752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$70,936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$84,886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$88,277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$79,899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$96,961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$82,336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$993,939</w:t>
            </w:r>
          </w:p>
        </w:tc>
      </w:tr>
      <w:tr w:rsidR="005134EB" w:rsidRPr="00250E2B" w:rsidTr="003F7F43">
        <w:trPr>
          <w:trHeight w:val="288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$89,110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$91,854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$91,466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$85,056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$77,090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$81,948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$78,204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$86,764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$75,133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$76,843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$995,210</w:t>
            </w:r>
          </w:p>
        </w:tc>
      </w:tr>
      <w:tr w:rsidR="005134EB" w:rsidRPr="00250E2B" w:rsidTr="003F7F43">
        <w:trPr>
          <w:trHeight w:val="300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2015</w:t>
            </w:r>
          </w:p>
        </w:tc>
        <w:tc>
          <w:tcPr>
            <w:tcW w:w="787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$80,576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$71,543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$85,870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$85,971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$74,889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102,359</w:t>
            </w:r>
          </w:p>
        </w:tc>
        <w:tc>
          <w:tcPr>
            <w:tcW w:w="1052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$107,210</w:t>
            </w:r>
          </w:p>
        </w:tc>
        <w:tc>
          <w:tcPr>
            <w:tcW w:w="1052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$104,592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$98,992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$98,772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86,000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100,888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998,890</w:t>
            </w:r>
          </w:p>
        </w:tc>
      </w:tr>
      <w:tr w:rsidR="005134EB" w:rsidRPr="00250E2B" w:rsidTr="003F7F43">
        <w:trPr>
          <w:trHeight w:val="276"/>
          <w:jc w:val="center"/>
        </w:trPr>
        <w:tc>
          <w:tcPr>
            <w:tcW w:w="1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Increase in Production post training</w:t>
            </w:r>
          </w:p>
        </w:tc>
        <w:tc>
          <w:tcPr>
            <w:tcW w:w="7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Training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Onsite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Coaching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$25,269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$25,262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$19,266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$20,788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12,008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>*</w:t>
            </w:r>
          </w:p>
          <w:p w:rsidR="005134EB" w:rsidRPr="00250E2B" w:rsidRDefault="005134EB" w:rsidP="003F7F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10,867*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24,045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137,505</w:t>
            </w:r>
          </w:p>
        </w:tc>
      </w:tr>
      <w:tr w:rsidR="005134EB" w:rsidRPr="00250E2B" w:rsidTr="003F7F43">
        <w:trPr>
          <w:trHeight w:val="789"/>
          <w:jc w:val="center"/>
        </w:trPr>
        <w:tc>
          <w:tcPr>
            <w:tcW w:w="14939" w:type="dxa"/>
            <w:gridSpan w:val="14"/>
            <w:tcBorders>
              <w:top w:val="double" w:sz="4" w:space="0" w:color="auto"/>
              <w:left w:val="single" w:sz="8" w:space="0" w:color="CCCCCC"/>
              <w:bottom w:val="doub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5134EB" w:rsidRDefault="005134EB" w:rsidP="003F7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7"/>
              <w:rPr>
                <w:rFonts w:asciiTheme="minorHAnsi" w:eastAsiaTheme="minorHAnsi" w:hAnsiTheme="minorHAnsi" w:cstheme="minorBidi"/>
              </w:rPr>
            </w:pPr>
            <w:r w:rsidRPr="004374C3">
              <w:rPr>
                <w:rFonts w:eastAsia="Times New Roman" w:cs="Arial"/>
                <w:sz w:val="20"/>
                <w:szCs w:val="20"/>
              </w:rPr>
              <w:t xml:space="preserve">Areas highlighted in </w:t>
            </w:r>
            <w:r w:rsidRPr="004374C3">
              <w:rPr>
                <w:rFonts w:asciiTheme="minorHAnsi" w:eastAsiaTheme="minorHAnsi" w:hAnsiTheme="minorHAnsi" w:cstheme="minorBidi"/>
              </w:rPr>
              <w:t xml:space="preserve">yellow are results of increases in the hygiene department’s gross production post training </w:t>
            </w:r>
          </w:p>
          <w:p w:rsidR="005134EB" w:rsidRPr="004374C3" w:rsidRDefault="005134EB" w:rsidP="003F7F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7"/>
              <w:rPr>
                <w:rFonts w:asciiTheme="minorHAnsi" w:eastAsiaTheme="minorHAnsi" w:hAnsiTheme="minorHAnsi" w:cstheme="minorBidi"/>
              </w:rPr>
            </w:pPr>
            <w:r>
              <w:rPr>
                <w:rFonts w:eastAsia="Times New Roman" w:cs="Arial"/>
                <w:sz w:val="20"/>
                <w:szCs w:val="20"/>
              </w:rPr>
              <w:t>Total increase in hygiene production post training is $137,505 [ 6 month period ]</w:t>
            </w:r>
          </w:p>
          <w:p w:rsidR="005134EB" w:rsidRPr="0070049F" w:rsidRDefault="005134EB" w:rsidP="003F7F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eastAsia="Times New Roman" w:cs="Arial"/>
                <w:sz w:val="24"/>
                <w:szCs w:val="24"/>
              </w:rPr>
            </w:pPr>
            <w:r w:rsidRPr="004374C3">
              <w:rPr>
                <w:rFonts w:eastAsia="Times New Roman" w:cs="Arial"/>
                <w:sz w:val="20"/>
                <w:szCs w:val="20"/>
              </w:rPr>
              <w:t>October and November of 2015 the practice terminated 2 newer RDH and rehired for the positions. Production was a little lower in these months as the new RDH were going through the Onboarding process.</w:t>
            </w:r>
          </w:p>
          <w:p w:rsidR="005134EB" w:rsidRPr="00250E2B" w:rsidRDefault="005134EB" w:rsidP="003F7F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t>The dentist in this practice is totally engaged with the practice and holds the team accountable</w:t>
            </w:r>
          </w:p>
        </w:tc>
      </w:tr>
      <w:tr w:rsidR="005134EB" w:rsidRPr="00250E2B" w:rsidTr="003F7F43">
        <w:trPr>
          <w:trHeight w:val="108"/>
          <w:jc w:val="center"/>
        </w:trPr>
        <w:tc>
          <w:tcPr>
            <w:tcW w:w="14939" w:type="dxa"/>
            <w:gridSpan w:val="14"/>
            <w:tcBorders>
              <w:top w:val="double" w:sz="4" w:space="0" w:color="auto"/>
              <w:left w:val="single" w:sz="8" w:space="0" w:color="CCCCCC"/>
              <w:bottom w:val="nil"/>
            </w:tcBorders>
            <w:shd w:val="clear" w:color="000000" w:fill="000000" w:themeFill="text1"/>
            <w:vAlign w:val="bottom"/>
          </w:tcPr>
          <w:p w:rsidR="005134EB" w:rsidRPr="00250E2B" w:rsidRDefault="005134EB" w:rsidP="003F7F43">
            <w:pPr>
              <w:spacing w:after="0" w:line="240" w:lineRule="auto"/>
              <w:ind w:left="-198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>Case Study</w:t>
            </w:r>
            <w:r>
              <w:rPr>
                <w:rFonts w:eastAsia="Times New Roman" w:cs="Arial"/>
                <w:sz w:val="24"/>
                <w:szCs w:val="24"/>
              </w:rPr>
              <w:t xml:space="preserve"> #2</w:t>
            </w:r>
          </w:p>
          <w:p w:rsidR="005134E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 xml:space="preserve">[Practice with </w:t>
            </w:r>
            <w:r>
              <w:rPr>
                <w:rFonts w:eastAsia="Times New Roman" w:cs="Arial"/>
                <w:sz w:val="24"/>
                <w:szCs w:val="24"/>
              </w:rPr>
              <w:t>5-</w:t>
            </w:r>
            <w:r w:rsidRPr="00250E2B">
              <w:rPr>
                <w:rFonts w:eastAsia="Times New Roman" w:cs="Arial"/>
                <w:sz w:val="24"/>
                <w:szCs w:val="24"/>
              </w:rPr>
              <w:t>6 days of hygiene/week]</w:t>
            </w:r>
          </w:p>
        </w:tc>
      </w:tr>
    </w:tbl>
    <w:tbl>
      <w:tblPr>
        <w:tblpPr w:leftFromText="180" w:rightFromText="180" w:vertAnchor="text" w:horzAnchor="page" w:tblpX="457" w:tblpY="202"/>
        <w:tblW w:w="14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810"/>
        <w:gridCol w:w="990"/>
        <w:gridCol w:w="990"/>
        <w:gridCol w:w="990"/>
        <w:gridCol w:w="1080"/>
        <w:gridCol w:w="990"/>
        <w:gridCol w:w="990"/>
        <w:gridCol w:w="1080"/>
        <w:gridCol w:w="1080"/>
        <w:gridCol w:w="990"/>
        <w:gridCol w:w="1075"/>
        <w:gridCol w:w="900"/>
        <w:gridCol w:w="1085"/>
      </w:tblGrid>
      <w:tr w:rsidR="005134EB" w:rsidRPr="00250E2B" w:rsidTr="003F7F43">
        <w:trPr>
          <w:trHeight w:val="255"/>
        </w:trPr>
        <w:tc>
          <w:tcPr>
            <w:tcW w:w="1882" w:type="dxa"/>
            <w:tcBorders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/>
                <w:bCs/>
                <w:sz w:val="18"/>
                <w:szCs w:val="18"/>
              </w:rPr>
              <w:t xml:space="preserve">Total Hygiene Stats 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Jan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Feb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March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June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July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Aug.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Sept.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Oct. 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Nov.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Dec. </w:t>
            </w:r>
          </w:p>
        </w:tc>
        <w:tc>
          <w:tcPr>
            <w:tcW w:w="1085" w:type="dxa"/>
            <w:tcBorders>
              <w:lef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Total</w:t>
            </w:r>
          </w:p>
        </w:tc>
      </w:tr>
      <w:tr w:rsidR="005134EB" w:rsidRPr="00250E2B" w:rsidTr="003F7F43">
        <w:trPr>
          <w:trHeight w:val="255"/>
        </w:trPr>
        <w:tc>
          <w:tcPr>
            <w:tcW w:w="18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2011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14,132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14,835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21,584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19,234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17,212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18,624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16,058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22,243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16,781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16,885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19,056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17,812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214,456</w:t>
            </w:r>
          </w:p>
        </w:tc>
      </w:tr>
      <w:tr w:rsidR="005134EB" w:rsidRPr="00250E2B" w:rsidTr="003F7F43">
        <w:trPr>
          <w:trHeight w:val="255"/>
        </w:trPr>
        <w:tc>
          <w:tcPr>
            <w:tcW w:w="18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2012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17,114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19,340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15,552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17,205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18,681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15,648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17,462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20,073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16,655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21,892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18,983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16,611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215,216</w:t>
            </w:r>
          </w:p>
        </w:tc>
      </w:tr>
      <w:tr w:rsidR="005134EB" w:rsidRPr="00250E2B" w:rsidTr="003F7F43">
        <w:trPr>
          <w:trHeight w:val="405"/>
        </w:trPr>
        <w:tc>
          <w:tcPr>
            <w:tcW w:w="18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2013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18,905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18,343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17,855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20,947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19,408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17,551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19,638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18,694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19,287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22,004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18,929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18,178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229,739</w:t>
            </w:r>
          </w:p>
        </w:tc>
      </w:tr>
      <w:tr w:rsidR="005134EB" w:rsidRPr="00250E2B" w:rsidTr="003F7F43">
        <w:trPr>
          <w:trHeight w:val="405"/>
        </w:trPr>
        <w:tc>
          <w:tcPr>
            <w:tcW w:w="1882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2014</w:t>
            </w:r>
          </w:p>
        </w:tc>
        <w:tc>
          <w:tcPr>
            <w:tcW w:w="81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16,921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18,134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23,938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29,486</w:t>
            </w:r>
          </w:p>
        </w:tc>
        <w:tc>
          <w:tcPr>
            <w:tcW w:w="10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27,534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27,765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30,668</w:t>
            </w:r>
          </w:p>
        </w:tc>
        <w:tc>
          <w:tcPr>
            <w:tcW w:w="10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27,197</w:t>
            </w:r>
          </w:p>
        </w:tc>
        <w:tc>
          <w:tcPr>
            <w:tcW w:w="10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27,441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32,810</w:t>
            </w:r>
          </w:p>
        </w:tc>
        <w:tc>
          <w:tcPr>
            <w:tcW w:w="1075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26,875</w:t>
            </w:r>
          </w:p>
        </w:tc>
        <w:tc>
          <w:tcPr>
            <w:tcW w:w="90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31,904</w:t>
            </w:r>
          </w:p>
        </w:tc>
        <w:tc>
          <w:tcPr>
            <w:tcW w:w="1085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320,673</w:t>
            </w:r>
          </w:p>
        </w:tc>
      </w:tr>
      <w:tr w:rsidR="005134EB" w:rsidRPr="00250E2B" w:rsidTr="003F7F43">
        <w:trPr>
          <w:trHeight w:val="405"/>
        </w:trPr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ascii="Arial" w:eastAsia="Times New Roman" w:hAnsi="Arial" w:cs="Arial"/>
                <w:sz w:val="16"/>
                <w:szCs w:val="16"/>
              </w:rPr>
              <w:t>Increase in Production post training</w:t>
            </w:r>
          </w:p>
        </w:tc>
        <w:tc>
          <w:tcPr>
            <w:tcW w:w="81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 xml:space="preserve">Training 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>Onsite Coaching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6,083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8,539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8,126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10,214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11,030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8,503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8,154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10,806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7,946</w:t>
            </w:r>
          </w:p>
        </w:tc>
        <w:tc>
          <w:tcPr>
            <w:tcW w:w="9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13,726</w:t>
            </w:r>
          </w:p>
        </w:tc>
        <w:tc>
          <w:tcPr>
            <w:tcW w:w="108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93,127</w:t>
            </w:r>
          </w:p>
        </w:tc>
      </w:tr>
      <w:tr w:rsidR="005134EB" w:rsidRPr="00250E2B" w:rsidTr="003F7F43">
        <w:trPr>
          <w:trHeight w:val="405"/>
        </w:trPr>
        <w:tc>
          <w:tcPr>
            <w:tcW w:w="188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2015</w:t>
            </w:r>
          </w:p>
        </w:tc>
        <w:tc>
          <w:tcPr>
            <w:tcW w:w="81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27,027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26,565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30,155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32,603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31,147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29,861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26,717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28,267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33,923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28,200</w:t>
            </w:r>
          </w:p>
        </w:tc>
        <w:tc>
          <w:tcPr>
            <w:tcW w:w="107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30,000</w:t>
            </w:r>
          </w:p>
        </w:tc>
        <w:tc>
          <w:tcPr>
            <w:tcW w:w="9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30,113</w:t>
            </w:r>
          </w:p>
        </w:tc>
        <w:tc>
          <w:tcPr>
            <w:tcW w:w="108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354,578</w:t>
            </w:r>
          </w:p>
        </w:tc>
      </w:tr>
      <w:tr w:rsidR="005134EB" w:rsidRPr="00250E2B" w:rsidTr="003F7F43">
        <w:trPr>
          <w:trHeight w:val="300"/>
        </w:trPr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ascii="Arial" w:eastAsia="Times New Roman" w:hAnsi="Arial" w:cs="Arial"/>
                <w:sz w:val="16"/>
                <w:szCs w:val="16"/>
              </w:rPr>
              <w:t>Increase in Production 1 year post training</w:t>
            </w:r>
          </w:p>
        </w:tc>
        <w:tc>
          <w:tcPr>
            <w:tcW w:w="81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>10,106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>8,431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12,300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11,656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11,739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12,310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7,079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9,573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14,636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6,196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11,071</w:t>
            </w:r>
          </w:p>
        </w:tc>
        <w:tc>
          <w:tcPr>
            <w:tcW w:w="9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11,935</w:t>
            </w:r>
          </w:p>
        </w:tc>
        <w:tc>
          <w:tcPr>
            <w:tcW w:w="108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34EB" w:rsidRPr="00250E2B" w:rsidRDefault="005134EB" w:rsidP="003F7F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127,032</w:t>
            </w:r>
          </w:p>
        </w:tc>
      </w:tr>
    </w:tbl>
    <w:p w:rsidR="005134EB" w:rsidRDefault="005134EB" w:rsidP="005134EB">
      <w:pPr>
        <w:shd w:val="clear" w:color="auto" w:fill="FFFFFF"/>
        <w:spacing w:after="0" w:line="240" w:lineRule="auto"/>
        <w:ind w:left="-990"/>
        <w:jc w:val="both"/>
        <w:rPr>
          <w:rFonts w:ascii="Times New Roman" w:hAnsi="Times New Roman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C6BE" wp14:editId="34405F6F">
                <wp:simplePos x="0" y="0"/>
                <wp:positionH relativeFrom="column">
                  <wp:posOffset>-640080</wp:posOffset>
                </wp:positionH>
                <wp:positionV relativeFrom="paragraph">
                  <wp:posOffset>2058670</wp:posOffset>
                </wp:positionV>
                <wp:extent cx="9502140" cy="14478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140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4EB" w:rsidRPr="0070049F" w:rsidRDefault="005134EB" w:rsidP="005134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Area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s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highlighted in yellow are results of increases in the hygiene department’s gross production post training </w:t>
                            </w:r>
                          </w:p>
                          <w:p w:rsidR="005134EB" w:rsidRPr="0070049F" w:rsidRDefault="005134EB" w:rsidP="005134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Total increase in hygiene production compared to the production numbers in 2013 is $220,159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[ 22 month period]</w:t>
                            </w:r>
                          </w:p>
                          <w:p w:rsidR="005134EB" w:rsidRPr="0070049F" w:rsidRDefault="005134EB" w:rsidP="005134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The practice is needing to add 1- 2 additional hygiene days per week for the 2016 calendar year. This would increase the current hygiene production 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br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a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nywhere between $46,200 – $80,000</w:t>
                            </w:r>
                          </w:p>
                          <w:p w:rsidR="005134EB" w:rsidRPr="0070049F" w:rsidRDefault="005134EB" w:rsidP="005134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In this particular practice the Dentist is not engaged and does not hold the team accountable; therefore, the resul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ts of the training would have yield even </w:t>
                            </w:r>
                            <w:r w:rsidRPr="000378AB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</w:rPr>
                              <w:t>HIGHER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r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esults. </w:t>
                            </w:r>
                          </w:p>
                          <w:p w:rsidR="005134EB" w:rsidRDefault="005134EB" w:rsidP="00513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C6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4pt;margin-top:162.1pt;width:748.2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" fillcolor="#f2f2f2" strokecolor="#a5a5a5" strokeweight=".5pt">
                <v:textbox>
                  <w:txbxContent>
                    <w:p w:rsidR="005134EB" w:rsidRPr="0070049F" w:rsidRDefault="005134EB" w:rsidP="005134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Area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>s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 highlighted in yellow are results of increases in the hygiene department’s gross production post training </w:t>
                      </w:r>
                    </w:p>
                    <w:p w:rsidR="005134EB" w:rsidRPr="0070049F" w:rsidRDefault="005134EB" w:rsidP="005134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Total increase in hygiene production compared to the production numbers in 2013 is $220,159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 xml:space="preserve"> [ 22 month period]</w:t>
                      </w:r>
                    </w:p>
                    <w:p w:rsidR="005134EB" w:rsidRPr="0070049F" w:rsidRDefault="005134EB" w:rsidP="005134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The practice is needing to add 1- 2 additional hygiene days per week for the 2016 calendar year. This would increase the current hygiene production 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br/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 xml:space="preserve"> a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nywhere between $46,200 – $80,000</w:t>
                      </w:r>
                    </w:p>
                    <w:p w:rsidR="005134EB" w:rsidRPr="0070049F" w:rsidRDefault="005134EB" w:rsidP="005134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In this particular practice the Dentist is not engaged and does not hold the team accountable; therefore, the resul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 xml:space="preserve">ts of the training would have yield even </w:t>
                      </w:r>
                      <w:r w:rsidRPr="000378AB">
                        <w:rPr>
                          <w:rFonts w:asciiTheme="minorHAnsi" w:eastAsiaTheme="minorHAnsi" w:hAnsiTheme="minorHAnsi" w:cstheme="minorBidi"/>
                          <w:b/>
                          <w:i/>
                        </w:rPr>
                        <w:t>HIGHER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>r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esults. </w:t>
                      </w:r>
                    </w:p>
                    <w:p w:rsidR="005134EB" w:rsidRDefault="005134EB" w:rsidP="005134EB"/>
                  </w:txbxContent>
                </v:textbox>
              </v:shape>
            </w:pict>
          </mc:Fallback>
        </mc:AlternateContent>
      </w:r>
    </w:p>
    <w:sectPr w:rsidR="005134EB" w:rsidSect="005134EB">
      <w:pgSz w:w="15840" w:h="12240" w:orient="landscape" w:code="1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AD" w:rsidRDefault="000E50AD" w:rsidP="007B5417">
      <w:pPr>
        <w:spacing w:after="0" w:line="240" w:lineRule="auto"/>
      </w:pPr>
      <w:r>
        <w:separator/>
      </w:r>
    </w:p>
  </w:endnote>
  <w:endnote w:type="continuationSeparator" w:id="0">
    <w:p w:rsidR="000E50AD" w:rsidRDefault="000E50AD" w:rsidP="007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AD" w:rsidRDefault="000E50AD" w:rsidP="007B5417">
      <w:pPr>
        <w:spacing w:after="0" w:line="240" w:lineRule="auto"/>
      </w:pPr>
      <w:r>
        <w:separator/>
      </w:r>
    </w:p>
  </w:footnote>
  <w:footnote w:type="continuationSeparator" w:id="0">
    <w:p w:rsidR="000E50AD" w:rsidRDefault="000E50AD" w:rsidP="007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17" w:rsidRDefault="007B5417">
    <w:pPr>
      <w:pStyle w:val="Header"/>
    </w:pPr>
    <w:r w:rsidRPr="007B541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-152400</wp:posOffset>
          </wp:positionV>
          <wp:extent cx="2065020" cy="533516"/>
          <wp:effectExtent l="0" t="0" r="0" b="0"/>
          <wp:wrapNone/>
          <wp:docPr id="11" name="Picture 11" descr="C:\Users\Public\Documents\Stategic Practice Solutions\Marketing - SPS\Design - Promo items\Logo\SPS Logo w.taglin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Stategic Practice Solutions\Marketing - SPS\Design - Promo items\Logo\SPS Logo w.taglin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3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DF8"/>
    <w:multiLevelType w:val="hybridMultilevel"/>
    <w:tmpl w:val="3C1EA4C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46D2FC4"/>
    <w:multiLevelType w:val="hybridMultilevel"/>
    <w:tmpl w:val="7C08C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66B4"/>
    <w:multiLevelType w:val="hybridMultilevel"/>
    <w:tmpl w:val="BCC2F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3DC5"/>
    <w:multiLevelType w:val="hybridMultilevel"/>
    <w:tmpl w:val="F71C8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D078D"/>
    <w:multiLevelType w:val="hybridMultilevel"/>
    <w:tmpl w:val="D7A200A8"/>
    <w:lvl w:ilvl="0" w:tplc="0409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4C687E47"/>
    <w:multiLevelType w:val="hybridMultilevel"/>
    <w:tmpl w:val="6C5ECAEE"/>
    <w:lvl w:ilvl="0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 w15:restartNumberingAfterBreak="0">
    <w:nsid w:val="515F7AC4"/>
    <w:multiLevelType w:val="hybridMultilevel"/>
    <w:tmpl w:val="1E8E8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2BFA"/>
    <w:multiLevelType w:val="hybridMultilevel"/>
    <w:tmpl w:val="BCD243B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5AB2AF8"/>
    <w:multiLevelType w:val="hybridMultilevel"/>
    <w:tmpl w:val="8AC88B26"/>
    <w:lvl w:ilvl="0" w:tplc="6A7EBC04">
      <w:start w:val="127"/>
      <w:numFmt w:val="bullet"/>
      <w:lvlText w:val=""/>
      <w:lvlJc w:val="left"/>
      <w:pPr>
        <w:ind w:left="69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7D55700F"/>
    <w:multiLevelType w:val="hybridMultilevel"/>
    <w:tmpl w:val="5CBCF414"/>
    <w:lvl w:ilvl="0" w:tplc="0409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D"/>
    <w:rsid w:val="00022FB7"/>
    <w:rsid w:val="000E50AD"/>
    <w:rsid w:val="001020B9"/>
    <w:rsid w:val="00175AEE"/>
    <w:rsid w:val="00250E2B"/>
    <w:rsid w:val="002D3A38"/>
    <w:rsid w:val="00357361"/>
    <w:rsid w:val="004374C3"/>
    <w:rsid w:val="004403EC"/>
    <w:rsid w:val="005134EB"/>
    <w:rsid w:val="005B7DF1"/>
    <w:rsid w:val="005C1E90"/>
    <w:rsid w:val="006123DD"/>
    <w:rsid w:val="00647D86"/>
    <w:rsid w:val="0070049F"/>
    <w:rsid w:val="00747EFF"/>
    <w:rsid w:val="00752441"/>
    <w:rsid w:val="007B5417"/>
    <w:rsid w:val="00846FCA"/>
    <w:rsid w:val="00857C9A"/>
    <w:rsid w:val="009374D8"/>
    <w:rsid w:val="00970CAE"/>
    <w:rsid w:val="009B651D"/>
    <w:rsid w:val="00B614F1"/>
    <w:rsid w:val="00BD2EF3"/>
    <w:rsid w:val="00CC51C2"/>
    <w:rsid w:val="00CE0FA7"/>
    <w:rsid w:val="00E15D53"/>
    <w:rsid w:val="00E4553E"/>
    <w:rsid w:val="00F125D3"/>
    <w:rsid w:val="00F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8D075-8969-435B-9695-8D8489E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1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B5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rategicpracticesolution.com/dental-hygiene-consult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526F44212460C9139CFAAD803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F718-A267-4D16-9CC7-4E3A78E7C590}"/>
      </w:docPartPr>
      <w:docPartBody>
        <w:p w:rsidR="00C37219" w:rsidRDefault="008E3EB9">
          <w:r w:rsidRPr="00557532">
            <w:rPr>
              <w:rStyle w:val="PlaceholderText"/>
            </w:rPr>
            <w:t>[Company]</w:t>
          </w:r>
        </w:p>
      </w:docPartBody>
    </w:docPart>
    <w:docPart>
      <w:docPartPr>
        <w:name w:val="FCEDFEDF7A464844ADC54A5FC015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BD76-9DE6-47DD-BE22-590F3AE31B29}"/>
      </w:docPartPr>
      <w:docPartBody>
        <w:p w:rsidR="00C37219" w:rsidRDefault="008E3EB9">
          <w:r w:rsidRPr="00557532">
            <w:rPr>
              <w:rStyle w:val="PlaceholderText"/>
            </w:rPr>
            <w:t>[Company Address]</w:t>
          </w:r>
        </w:p>
      </w:docPartBody>
    </w:docPart>
    <w:docPart>
      <w:docPartPr>
        <w:name w:val="96F024204FAD4D08B3428BB7CD1D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6730-A966-4318-86E0-CD655148F484}"/>
      </w:docPartPr>
      <w:docPartBody>
        <w:p w:rsidR="00C37219" w:rsidRDefault="008E3EB9">
          <w:r w:rsidRPr="00557532">
            <w:rPr>
              <w:rStyle w:val="PlaceholderText"/>
            </w:rPr>
            <w:t>[Manager]</w:t>
          </w:r>
        </w:p>
      </w:docPartBody>
    </w:docPart>
    <w:docPart>
      <w:docPartPr>
        <w:name w:val="E566AB4697FA467CB135AA3D6DC6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474A-F42F-46F9-AB87-DF048227CDEF}"/>
      </w:docPartPr>
      <w:docPartBody>
        <w:p w:rsidR="00C37219" w:rsidRDefault="008E3EB9">
          <w:r w:rsidRPr="00557532">
            <w:rPr>
              <w:rStyle w:val="PlaceholderText"/>
            </w:rPr>
            <w:t>[Author]</w:t>
          </w:r>
        </w:p>
      </w:docPartBody>
    </w:docPart>
    <w:docPart>
      <w:docPartPr>
        <w:name w:val="21FBCB2E73ED44689F9C171C37A5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7F14-B6B4-4C8C-BF7E-014045501AEC}"/>
      </w:docPartPr>
      <w:docPartBody>
        <w:p w:rsidR="00C37219" w:rsidRDefault="008E3EB9">
          <w:r w:rsidRPr="00557532">
            <w:rPr>
              <w:rStyle w:val="PlaceholderText"/>
            </w:rPr>
            <w:t>[Title]</w:t>
          </w:r>
        </w:p>
      </w:docPartBody>
    </w:docPart>
    <w:docPart>
      <w:docPartPr>
        <w:name w:val="4DA4A22A62A64983B35330D61AA1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BB23-1EE9-47EF-AB60-1B1C3EC33B50}"/>
      </w:docPartPr>
      <w:docPartBody>
        <w:p w:rsidR="00E0385F" w:rsidRDefault="00C37219">
          <w:r w:rsidRPr="00557532">
            <w:rPr>
              <w:rStyle w:val="PlaceholderText"/>
            </w:rPr>
            <w:t>[Subject]</w:t>
          </w:r>
        </w:p>
      </w:docPartBody>
    </w:docPart>
    <w:docPart>
      <w:docPartPr>
        <w:name w:val="CA350537DCAB4FDD889F914D3B8A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403-D3DC-4CE4-9DCE-D44D68B19018}"/>
      </w:docPartPr>
      <w:docPartBody>
        <w:p w:rsidR="00E0385F" w:rsidRDefault="00C37219">
          <w:r w:rsidRPr="00557532"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9"/>
    <w:rsid w:val="00124407"/>
    <w:rsid w:val="003E4B44"/>
    <w:rsid w:val="007F7C45"/>
    <w:rsid w:val="008E3EB9"/>
    <w:rsid w:val="009F25A4"/>
    <w:rsid w:val="00A9508D"/>
    <w:rsid w:val="00C37219"/>
    <w:rsid w:val="00E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219"/>
    <w:rPr>
      <w:color w:val="808080"/>
    </w:rPr>
  </w:style>
  <w:style w:type="paragraph" w:customStyle="1" w:styleId="250CA557B3DE47269BC3EC3F63DE56E9">
    <w:name w:val="250CA557B3DE47269BC3EC3F63DE56E9"/>
    <w:rsid w:val="008E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27281 W Warren Ave</CompanyAddress>
  <CompanyPhone>586.804.4491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58DF0-58DC-42C5-B7E3-4457497C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Operations</vt:lpstr>
    </vt:vector>
  </TitlesOfParts>
  <Manager>Kamy</Manager>
  <Company>Cambridge Dental Group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Operations</dc:title>
  <dc:subject>Dearborn Heights, Mi 48127</dc:subject>
  <dc:creator>Tricia Casasanta</dc:creator>
  <cp:keywords/>
  <dc:description/>
  <cp:lastModifiedBy>Tricia Casasanta</cp:lastModifiedBy>
  <cp:revision>2</cp:revision>
  <cp:lastPrinted>2016-02-09T02:50:00Z</cp:lastPrinted>
  <dcterms:created xsi:type="dcterms:W3CDTF">2016-02-09T02:52:00Z</dcterms:created>
  <dcterms:modified xsi:type="dcterms:W3CDTF">2016-02-09T02:52:00Z</dcterms:modified>
</cp:coreProperties>
</file>